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 w:line="240" w:lineRule="auto"/>
        <w:jc w:val="center"/>
      </w:pPr>
      <w:r>
        <w:rPr>
          <w:rFonts w:ascii="Arial" w:hAnsi="Arial"/>
          <w:b/>
          <w:i w:val="0"/>
          <w:color w:val="4E5662"/>
          <w:sz w:val="16"/>
        </w:rPr>
        <w:t>FICTIONAL FEDERAL RESUME EXAMPLE</w:t>
      </w:r>
    </w:p>
    <w:p>
      <w:pPr>
        <w:pStyle w:val="Title"/>
        <w:keepNext w:val="0"/>
        <w:spacing w:before="0" w:after="40" w:line="240" w:lineRule="auto"/>
        <w:jc w:val="center"/>
      </w:pPr>
      <w:r>
        <w:rPr>
          <w:rFonts w:ascii="Arial" w:hAnsi="Arial"/>
          <w:b w:val="0"/>
          <w:i w:val="0"/>
          <w:color w:val="000000"/>
          <w:sz w:val="19"/>
        </w:rPr>
        <w:t>ALEX MORGAN</w:t>
      </w:r>
    </w:p>
    <w:p>
      <w:pPr>
        <w:keepNext w:val="0"/>
        <w:spacing w:before="0" w:after="80" w:line="240" w:lineRule="auto"/>
        <w:jc w:val="center"/>
      </w:pPr>
      <w:r>
        <w:rPr>
          <w:rFonts w:ascii="Arial" w:hAnsi="Arial"/>
          <w:b/>
          <w:i w:val="0"/>
          <w:color w:val="000000"/>
          <w:sz w:val="18"/>
        </w:rPr>
        <w:t>PROGRAM AND MANAGEMENT ANALYST  |  GS-0343-11</w:t>
      </w:r>
    </w:p>
    <w:p>
      <w:pPr>
        <w:keepNext w:val="0"/>
        <w:spacing w:before="0" w:after="40" w:line="240" w:lineRule="auto"/>
        <w:jc w:val="center"/>
      </w:pPr>
      <w:r>
        <w:rPr>
          <w:rFonts w:ascii="Arial" w:hAnsi="Arial"/>
          <w:b w:val="0"/>
          <w:i w:val="0"/>
          <w:color w:val="000000"/>
          <w:sz w:val="19"/>
        </w:rPr>
        <w:t>Seattle, WA  |  alex.morgan@example.com  |  (555) 014-2718</w:t>
      </w:r>
    </w:p>
    <w:p>
      <w:pPr>
        <w:keepNext w:val="0"/>
        <w:spacing w:before="0" w:after="140" w:line="240" w:lineRule="auto"/>
        <w:jc w:val="center"/>
      </w:pPr>
      <w:r>
        <w:rPr>
          <w:rFonts w:ascii="Arial" w:hAnsi="Arial"/>
          <w:b w:val="0"/>
          <w:i w:val="0"/>
          <w:color w:val="4E5662"/>
          <w:sz w:val="18"/>
        </w:rPr>
        <w:t>U.S. citizen  |  5-point veterans' preference  |  Current federal employee</w:t>
      </w:r>
    </w:p>
    <w:p>
      <w:pPr>
        <w:pStyle w:val="Heading1"/>
        <w:keepNext/>
        <w:spacing w:before="180" w:after="100"/>
        <w:pBdr>
          <w:bottom w:val="single" w:sz="4" w:space="3" w:color="B8C0CC"/>
        </w:pBdr>
      </w:pPr>
      <w:r>
        <w:rPr>
          <w:rFonts w:ascii="Arial" w:hAnsi="Arial"/>
          <w:b/>
          <w:i w:val="0"/>
          <w:color w:val="000000"/>
          <w:sz w:val="21"/>
        </w:rPr>
        <w:t>WORK EXPERIENCE</w:t>
      </w:r>
    </w:p>
    <w:p>
      <w:pPr>
        <w:keepNext/>
        <w:tabs>
          <w:tab w:pos="10310" w:val="right"/>
        </w:tabs>
        <w:spacing w:before="80" w:after="30"/>
      </w:pPr>
      <w:r>
        <w:rPr>
          <w:rFonts w:ascii="Arial" w:hAnsi="Arial"/>
          <w:b/>
          <w:i w:val="0"/>
          <w:color w:val="000000"/>
          <w:sz w:val="20"/>
        </w:rPr>
        <w:t>U.S. General Services Administration</w:t>
      </w:r>
      <w:r>
        <w:rPr>
          <w:rFonts w:ascii="Arial" w:hAnsi="Arial"/>
          <w:b w:val="0"/>
          <w:i/>
          <w:color w:val="000000"/>
          <w:sz w:val="19"/>
        </w:rPr>
        <w:t xml:space="preserve">  |  Program Analyst</w:t>
      </w:r>
      <w:r>
        <w:rPr>
          <w:rFonts w:ascii="Arial" w:hAnsi="Arial"/>
          <w:b/>
          <w:i w:val="0"/>
          <w:color w:val="000000"/>
          <w:sz w:val="19"/>
        </w:rPr>
        <w:tab/>
        <w:t>June 2021–Present</w:t>
      </w:r>
    </w:p>
    <w:p>
      <w:pPr>
        <w:keepNext/>
        <w:spacing w:before="0" w:after="70" w:line="240" w:lineRule="auto"/>
      </w:pPr>
      <w:r>
        <w:rPr>
          <w:rFonts w:ascii="Arial" w:hAnsi="Arial"/>
          <w:b w:val="0"/>
          <w:i w:val="0"/>
          <w:color w:val="4E5662"/>
          <w:sz w:val="18"/>
        </w:rPr>
        <w:t>Seattle, WA  |  40 hours per week  |  GS-0343-11</w:t>
      </w:r>
    </w:p>
    <w:p>
      <w:pPr>
        <w:keepNext w:val="0"/>
        <w:spacing w:before="0" w:after="50" w:line="259" w:lineRule="auto"/>
        <w:ind w:left="432" w:hanging="259"/>
      </w:pPr>
      <w:r>
        <w:rPr>
          <w:rFonts w:ascii="Arial" w:hAnsi="Arial"/>
          <w:b/>
          <w:i w:val="0"/>
          <w:color w:val="000000"/>
          <w:sz w:val="21"/>
        </w:rPr>
        <w:t xml:space="preserve">•  </w:t>
      </w:r>
      <w:r>
        <w:rPr>
          <w:rFonts w:ascii="Arial" w:hAnsi="Arial"/>
          <w:b w:val="0"/>
          <w:i w:val="0"/>
          <w:color w:val="000000"/>
          <w:sz w:val="19"/>
        </w:rPr>
        <w:t xml:space="preserve">Analyze program operations, performance data, and internal controls for a regional portfolio supporting </w:t>
      </w:r>
      <w:r>
        <w:rPr>
          <w:rFonts w:ascii="Arial" w:hAnsi="Arial"/>
          <w:b/>
          <w:i w:val="0"/>
          <w:color w:val="000000"/>
          <w:sz w:val="19"/>
        </w:rPr>
        <w:t>35 staff</w:t>
      </w:r>
      <w:r>
        <w:rPr>
          <w:rFonts w:ascii="Arial" w:hAnsi="Arial"/>
          <w:b w:val="0"/>
          <w:i w:val="0"/>
          <w:color w:val="000000"/>
          <w:sz w:val="19"/>
        </w:rPr>
        <w:t xml:space="preserve"> and </w:t>
      </w:r>
      <w:r>
        <w:rPr>
          <w:rFonts w:ascii="Arial" w:hAnsi="Arial"/>
          <w:b/>
          <w:i w:val="0"/>
          <w:color w:val="000000"/>
          <w:sz w:val="19"/>
        </w:rPr>
        <w:t>120 customer organizations</w:t>
      </w:r>
      <w:r>
        <w:rPr>
          <w:rFonts w:ascii="Arial" w:hAnsi="Arial"/>
          <w:b w:val="0"/>
          <w:i w:val="0"/>
          <w:color w:val="000000"/>
          <w:sz w:val="19"/>
        </w:rPr>
        <w:t>; translate findings into quarterly improvement plans for senior leadership.</w:t>
      </w:r>
    </w:p>
    <w:p>
      <w:pPr>
        <w:keepNext w:val="0"/>
        <w:spacing w:before="0" w:after="50" w:line="259" w:lineRule="auto"/>
        <w:ind w:left="432" w:hanging="259"/>
      </w:pPr>
      <w:r>
        <w:rPr>
          <w:rFonts w:ascii="Arial" w:hAnsi="Arial"/>
          <w:b/>
          <w:i w:val="0"/>
          <w:color w:val="000000"/>
          <w:sz w:val="21"/>
        </w:rPr>
        <w:t xml:space="preserve">•  </w:t>
      </w:r>
      <w:r>
        <w:rPr>
          <w:rFonts w:ascii="Arial" w:hAnsi="Arial"/>
          <w:b w:val="0"/>
          <w:i w:val="0"/>
          <w:color w:val="000000"/>
          <w:sz w:val="19"/>
        </w:rPr>
        <w:t xml:space="preserve">Built integrated MS Project schedules for </w:t>
      </w:r>
      <w:r>
        <w:rPr>
          <w:rFonts w:ascii="Arial" w:hAnsi="Arial"/>
          <w:b/>
          <w:i w:val="0"/>
          <w:color w:val="000000"/>
          <w:sz w:val="19"/>
        </w:rPr>
        <w:t>six initiatives</w:t>
      </w:r>
      <w:r>
        <w:rPr>
          <w:rFonts w:ascii="Arial" w:hAnsi="Arial"/>
          <w:b w:val="0"/>
          <w:i w:val="0"/>
          <w:color w:val="000000"/>
          <w:sz w:val="19"/>
        </w:rPr>
        <w:t xml:space="preserve"> valued at </w:t>
      </w:r>
      <w:r>
        <w:rPr>
          <w:rFonts w:ascii="Arial" w:hAnsi="Arial"/>
          <w:b/>
          <w:i w:val="0"/>
          <w:color w:val="000000"/>
          <w:sz w:val="19"/>
        </w:rPr>
        <w:t>$4.8 million</w:t>
      </w:r>
      <w:r>
        <w:rPr>
          <w:rFonts w:ascii="Arial" w:hAnsi="Arial"/>
          <w:b w:val="0"/>
          <w:i w:val="0"/>
          <w:color w:val="000000"/>
          <w:sz w:val="19"/>
        </w:rPr>
        <w:t xml:space="preserve">, surfacing dependencies and corrective actions that increased on-time milestone completion from </w:t>
      </w:r>
      <w:r>
        <w:rPr>
          <w:rFonts w:ascii="Arial" w:hAnsi="Arial"/>
          <w:b/>
          <w:i w:val="0"/>
          <w:color w:val="000000"/>
          <w:sz w:val="19"/>
        </w:rPr>
        <w:t>76% to 92%</w:t>
      </w:r>
      <w:r>
        <w:rPr>
          <w:rFonts w:ascii="Arial" w:hAnsi="Arial"/>
          <w:b w:val="0"/>
          <w:i w:val="0"/>
          <w:color w:val="000000"/>
          <w:sz w:val="19"/>
        </w:rPr>
        <w:t xml:space="preserve"> in one fiscal year.</w:t>
      </w:r>
    </w:p>
    <w:p>
      <w:pPr>
        <w:keepNext w:val="0"/>
        <w:spacing w:before="0" w:after="50" w:line="259" w:lineRule="auto"/>
        <w:ind w:left="432" w:hanging="259"/>
      </w:pPr>
      <w:r>
        <w:rPr>
          <w:rFonts w:ascii="Arial" w:hAnsi="Arial"/>
          <w:b/>
          <w:i w:val="0"/>
          <w:color w:val="000000"/>
          <w:sz w:val="21"/>
        </w:rPr>
        <w:t xml:space="preserve">•  </w:t>
      </w:r>
      <w:r>
        <w:rPr>
          <w:rFonts w:ascii="Arial" w:hAnsi="Arial"/>
          <w:b w:val="0"/>
          <w:i w:val="0"/>
          <w:color w:val="000000"/>
          <w:sz w:val="19"/>
        </w:rPr>
        <w:t xml:space="preserve">Developed Power BI dashboards that combined budget, workload, and service-level data from </w:t>
      </w:r>
      <w:r>
        <w:rPr>
          <w:rFonts w:ascii="Arial" w:hAnsi="Arial"/>
          <w:b/>
          <w:i w:val="0"/>
          <w:color w:val="000000"/>
          <w:sz w:val="19"/>
        </w:rPr>
        <w:t>four systems</w:t>
      </w:r>
      <w:r>
        <w:rPr>
          <w:rFonts w:ascii="Arial" w:hAnsi="Arial"/>
          <w:b w:val="0"/>
          <w:i w:val="0"/>
          <w:color w:val="000000"/>
          <w:sz w:val="19"/>
        </w:rPr>
        <w:t xml:space="preserve">, reducing recurring report preparation by </w:t>
      </w:r>
      <w:r>
        <w:rPr>
          <w:rFonts w:ascii="Arial" w:hAnsi="Arial"/>
          <w:b/>
          <w:i w:val="0"/>
          <w:color w:val="000000"/>
          <w:sz w:val="19"/>
        </w:rPr>
        <w:t>18 staff hours per month</w:t>
      </w:r>
      <w:r>
        <w:rPr>
          <w:rFonts w:ascii="Arial" w:hAnsi="Arial"/>
          <w:b w:val="0"/>
          <w:i w:val="0"/>
          <w:color w:val="000000"/>
          <w:sz w:val="19"/>
        </w:rPr>
        <w:t>.</w:t>
      </w:r>
    </w:p>
    <w:p>
      <w:pPr>
        <w:keepNext w:val="0"/>
        <w:spacing w:before="0" w:after="50" w:line="259" w:lineRule="auto"/>
        <w:ind w:left="432" w:hanging="259"/>
      </w:pPr>
      <w:r>
        <w:rPr>
          <w:rFonts w:ascii="Arial" w:hAnsi="Arial"/>
          <w:b/>
          <w:i w:val="0"/>
          <w:color w:val="000000"/>
          <w:sz w:val="21"/>
        </w:rPr>
        <w:t xml:space="preserve">•  </w:t>
      </w:r>
      <w:r>
        <w:rPr>
          <w:rFonts w:ascii="Arial" w:hAnsi="Arial"/>
          <w:b w:val="0"/>
          <w:i w:val="0"/>
          <w:color w:val="000000"/>
          <w:sz w:val="19"/>
        </w:rPr>
        <w:t xml:space="preserve">Led cross-functional process reviews and redesigned intake and approval steps, shortening average request cycle time from </w:t>
      </w:r>
      <w:r>
        <w:rPr>
          <w:rFonts w:ascii="Arial" w:hAnsi="Arial"/>
          <w:b/>
          <w:i w:val="0"/>
          <w:color w:val="000000"/>
          <w:sz w:val="19"/>
        </w:rPr>
        <w:t>21 to 14 business days</w:t>
      </w:r>
      <w:r>
        <w:rPr>
          <w:rFonts w:ascii="Arial" w:hAnsi="Arial"/>
          <w:b w:val="0"/>
          <w:i w:val="0"/>
          <w:color w:val="000000"/>
          <w:sz w:val="19"/>
        </w:rPr>
        <w:t>.</w:t>
      </w:r>
    </w:p>
    <w:p>
      <w:pPr>
        <w:keepNext/>
        <w:tabs>
          <w:tab w:pos="10310" w:val="right"/>
        </w:tabs>
        <w:spacing w:before="80" w:after="30"/>
      </w:pPr>
      <w:r>
        <w:rPr>
          <w:rFonts w:ascii="Arial" w:hAnsi="Arial"/>
          <w:b/>
          <w:i w:val="0"/>
          <w:color w:val="000000"/>
          <w:sz w:val="20"/>
        </w:rPr>
        <w:t>Washington State Department of Enterprise Services</w:t>
      </w:r>
      <w:r>
        <w:rPr>
          <w:rFonts w:ascii="Arial" w:hAnsi="Arial"/>
          <w:b w:val="0"/>
          <w:i/>
          <w:color w:val="000000"/>
          <w:sz w:val="19"/>
        </w:rPr>
        <w:t xml:space="preserve">  |  Management Analyst</w:t>
      </w:r>
      <w:r>
        <w:rPr>
          <w:rFonts w:ascii="Arial" w:hAnsi="Arial"/>
          <w:b/>
          <w:i w:val="0"/>
          <w:color w:val="000000"/>
          <w:sz w:val="19"/>
        </w:rPr>
        <w:tab/>
        <w:t>March 2017–May 2021</w:t>
      </w:r>
    </w:p>
    <w:p>
      <w:pPr>
        <w:keepNext/>
        <w:spacing w:before="0" w:after="70" w:line="240" w:lineRule="auto"/>
      </w:pPr>
      <w:r>
        <w:rPr>
          <w:rFonts w:ascii="Arial" w:hAnsi="Arial"/>
          <w:b w:val="0"/>
          <w:i w:val="0"/>
          <w:color w:val="4E5662"/>
          <w:sz w:val="18"/>
        </w:rPr>
        <w:t>Olympia, WA  |  40 hours per week</w:t>
      </w:r>
    </w:p>
    <w:p>
      <w:pPr>
        <w:keepNext w:val="0"/>
        <w:spacing w:before="0" w:after="50" w:line="259" w:lineRule="auto"/>
        <w:ind w:left="432" w:hanging="259"/>
      </w:pPr>
      <w:r>
        <w:rPr>
          <w:rFonts w:ascii="Arial" w:hAnsi="Arial"/>
          <w:b/>
          <w:i w:val="0"/>
          <w:color w:val="000000"/>
          <w:sz w:val="21"/>
        </w:rPr>
        <w:t xml:space="preserve">•  </w:t>
      </w:r>
      <w:r>
        <w:rPr>
          <w:rFonts w:ascii="Arial" w:hAnsi="Arial"/>
          <w:b w:val="0"/>
          <w:i w:val="0"/>
          <w:color w:val="000000"/>
          <w:sz w:val="19"/>
        </w:rPr>
        <w:t>Reviewed administrative policies, financial records, and program procedures for compliance with state and federal requirements; documented findings and recommended corrective actions to division directors.</w:t>
      </w:r>
    </w:p>
    <w:p>
      <w:pPr>
        <w:keepNext w:val="0"/>
        <w:spacing w:before="0" w:after="50" w:line="259" w:lineRule="auto"/>
        <w:ind w:left="432" w:hanging="259"/>
      </w:pPr>
      <w:r>
        <w:rPr>
          <w:rFonts w:ascii="Arial" w:hAnsi="Arial"/>
          <w:b/>
          <w:i w:val="0"/>
          <w:color w:val="000000"/>
          <w:sz w:val="21"/>
        </w:rPr>
        <w:t xml:space="preserve">•  </w:t>
      </w:r>
      <w:r>
        <w:rPr>
          <w:rFonts w:ascii="Arial" w:hAnsi="Arial"/>
          <w:b w:val="0"/>
          <w:i w:val="0"/>
          <w:color w:val="000000"/>
          <w:sz w:val="19"/>
        </w:rPr>
        <w:t xml:space="preserve">Mapped procurement and payment workflows across </w:t>
      </w:r>
      <w:r>
        <w:rPr>
          <w:rFonts w:ascii="Arial" w:hAnsi="Arial"/>
          <w:b/>
          <w:i w:val="0"/>
          <w:color w:val="000000"/>
          <w:sz w:val="19"/>
        </w:rPr>
        <w:t>five business units</w:t>
      </w:r>
      <w:r>
        <w:rPr>
          <w:rFonts w:ascii="Arial" w:hAnsi="Arial"/>
          <w:b w:val="0"/>
          <w:i w:val="0"/>
          <w:color w:val="000000"/>
          <w:sz w:val="19"/>
        </w:rPr>
        <w:t xml:space="preserve">, eliminating duplicate reviews and cutting average processing time by </w:t>
      </w:r>
      <w:r>
        <w:rPr>
          <w:rFonts w:ascii="Arial" w:hAnsi="Arial"/>
          <w:b/>
          <w:i w:val="0"/>
          <w:color w:val="000000"/>
          <w:sz w:val="19"/>
        </w:rPr>
        <w:t>17%</w:t>
      </w:r>
      <w:r>
        <w:rPr>
          <w:rFonts w:ascii="Arial" w:hAnsi="Arial"/>
          <w:b w:val="0"/>
          <w:i w:val="0"/>
          <w:color w:val="000000"/>
          <w:sz w:val="19"/>
        </w:rPr>
        <w:t xml:space="preserve"> while preserving required controls.</w:t>
      </w:r>
    </w:p>
    <w:p>
      <w:pPr>
        <w:keepNext w:val="0"/>
        <w:spacing w:before="0" w:after="50" w:line="259" w:lineRule="auto"/>
        <w:ind w:left="432" w:hanging="259"/>
      </w:pPr>
      <w:r>
        <w:rPr>
          <w:rFonts w:ascii="Arial" w:hAnsi="Arial"/>
          <w:b/>
          <w:i w:val="0"/>
          <w:color w:val="000000"/>
          <w:sz w:val="21"/>
        </w:rPr>
        <w:t xml:space="preserve">•  </w:t>
      </w:r>
      <w:r>
        <w:rPr>
          <w:rFonts w:ascii="Arial" w:hAnsi="Arial"/>
          <w:b w:val="0"/>
          <w:i w:val="0"/>
          <w:color w:val="000000"/>
          <w:sz w:val="19"/>
        </w:rPr>
        <w:t xml:space="preserve">Designed workload reports and quality checks for a </w:t>
      </w:r>
      <w:r>
        <w:rPr>
          <w:rFonts w:ascii="Arial" w:hAnsi="Arial"/>
          <w:b/>
          <w:i w:val="0"/>
          <w:color w:val="000000"/>
          <w:sz w:val="19"/>
        </w:rPr>
        <w:t>22-person operations team</w:t>
      </w:r>
      <w:r>
        <w:rPr>
          <w:rFonts w:ascii="Arial" w:hAnsi="Arial"/>
          <w:b w:val="0"/>
          <w:i w:val="0"/>
          <w:color w:val="000000"/>
          <w:sz w:val="19"/>
        </w:rPr>
        <w:t xml:space="preserve">, improving data completeness from </w:t>
      </w:r>
      <w:r>
        <w:rPr>
          <w:rFonts w:ascii="Arial" w:hAnsi="Arial"/>
          <w:b/>
          <w:i w:val="0"/>
          <w:color w:val="000000"/>
          <w:sz w:val="19"/>
        </w:rPr>
        <w:t>84% to 98%</w:t>
      </w:r>
      <w:r>
        <w:rPr>
          <w:rFonts w:ascii="Arial" w:hAnsi="Arial"/>
          <w:b w:val="0"/>
          <w:i w:val="0"/>
          <w:color w:val="000000"/>
          <w:sz w:val="19"/>
        </w:rPr>
        <w:t xml:space="preserve"> over two reporting quarters.</w:t>
      </w:r>
    </w:p>
    <w:p>
      <w:pPr>
        <w:keepNext/>
        <w:tabs>
          <w:tab w:pos="10310" w:val="right"/>
        </w:tabs>
        <w:spacing w:before="80" w:after="30"/>
      </w:pPr>
      <w:r>
        <w:rPr>
          <w:rFonts w:ascii="Arial" w:hAnsi="Arial"/>
          <w:b/>
          <w:i w:val="0"/>
          <w:color w:val="000000"/>
          <w:sz w:val="20"/>
        </w:rPr>
        <w:t>U.S. Army Reserve</w:t>
      </w:r>
      <w:r>
        <w:rPr>
          <w:rFonts w:ascii="Arial" w:hAnsi="Arial"/>
          <w:b w:val="0"/>
          <w:i/>
          <w:color w:val="000000"/>
          <w:sz w:val="19"/>
        </w:rPr>
        <w:t xml:space="preserve">  |  Logistics Readiness Specialist</w:t>
      </w:r>
      <w:r>
        <w:rPr>
          <w:rFonts w:ascii="Arial" w:hAnsi="Arial"/>
          <w:b/>
          <w:i w:val="0"/>
          <w:color w:val="000000"/>
          <w:sz w:val="19"/>
        </w:rPr>
        <w:tab/>
        <w:t>August 2012–February 2017</w:t>
      </w:r>
    </w:p>
    <w:p>
      <w:pPr>
        <w:keepNext/>
        <w:spacing w:before="0" w:after="70" w:line="240" w:lineRule="auto"/>
      </w:pPr>
      <w:r>
        <w:rPr>
          <w:rFonts w:ascii="Arial" w:hAnsi="Arial"/>
          <w:b w:val="0"/>
          <w:i w:val="0"/>
          <w:color w:val="4E5662"/>
          <w:sz w:val="18"/>
        </w:rPr>
        <w:t>Joint Base Lewis-McChord, WA  |  16 hours per week average</w:t>
      </w:r>
    </w:p>
    <w:p>
      <w:pPr>
        <w:keepNext w:val="0"/>
        <w:spacing w:before="0" w:after="50" w:line="259" w:lineRule="auto"/>
        <w:ind w:left="432" w:hanging="259"/>
      </w:pPr>
      <w:r>
        <w:rPr>
          <w:rFonts w:ascii="Arial" w:hAnsi="Arial"/>
          <w:b/>
          <w:i w:val="0"/>
          <w:color w:val="000000"/>
          <w:sz w:val="21"/>
        </w:rPr>
        <w:t xml:space="preserve">•  </w:t>
      </w:r>
      <w:r>
        <w:rPr>
          <w:rFonts w:ascii="Arial" w:hAnsi="Arial"/>
          <w:b w:val="0"/>
          <w:i w:val="0"/>
          <w:color w:val="000000"/>
          <w:sz w:val="19"/>
        </w:rPr>
        <w:t xml:space="preserve">Coordinated equipment readiness, inventory accountability, and transportation planning for a </w:t>
      </w:r>
      <w:r>
        <w:rPr>
          <w:rFonts w:ascii="Arial" w:hAnsi="Arial"/>
          <w:b/>
          <w:i w:val="0"/>
          <w:color w:val="000000"/>
          <w:sz w:val="19"/>
        </w:rPr>
        <w:t>140-member unit</w:t>
      </w:r>
      <w:r>
        <w:rPr>
          <w:rFonts w:ascii="Arial" w:hAnsi="Arial"/>
          <w:b w:val="0"/>
          <w:i w:val="0"/>
          <w:color w:val="000000"/>
          <w:sz w:val="19"/>
        </w:rPr>
        <w:t xml:space="preserve">, maintaining </w:t>
      </w:r>
      <w:r>
        <w:rPr>
          <w:rFonts w:ascii="Arial" w:hAnsi="Arial"/>
          <w:b/>
          <w:i w:val="0"/>
          <w:color w:val="000000"/>
          <w:sz w:val="19"/>
        </w:rPr>
        <w:t>97%</w:t>
      </w:r>
      <w:r>
        <w:rPr>
          <w:rFonts w:ascii="Arial" w:hAnsi="Arial"/>
          <w:b w:val="0"/>
          <w:i w:val="0"/>
          <w:color w:val="000000"/>
          <w:sz w:val="19"/>
        </w:rPr>
        <w:t xml:space="preserve"> property accountability across </w:t>
      </w:r>
      <w:r>
        <w:rPr>
          <w:rFonts w:ascii="Arial" w:hAnsi="Arial"/>
          <w:b/>
          <w:i w:val="0"/>
          <w:color w:val="000000"/>
          <w:sz w:val="19"/>
        </w:rPr>
        <w:t>$2.3 million</w:t>
      </w:r>
      <w:r>
        <w:rPr>
          <w:rFonts w:ascii="Arial" w:hAnsi="Arial"/>
          <w:b w:val="0"/>
          <w:i w:val="0"/>
          <w:color w:val="000000"/>
          <w:sz w:val="19"/>
        </w:rPr>
        <w:t xml:space="preserve"> in assets.</w:t>
      </w:r>
    </w:p>
    <w:p>
      <w:pPr>
        <w:keepNext w:val="0"/>
        <w:spacing w:before="0" w:after="50" w:line="259" w:lineRule="auto"/>
        <w:ind w:left="432" w:hanging="259"/>
      </w:pPr>
      <w:r>
        <w:rPr>
          <w:rFonts w:ascii="Arial" w:hAnsi="Arial"/>
          <w:b/>
          <w:i w:val="0"/>
          <w:color w:val="000000"/>
          <w:sz w:val="21"/>
        </w:rPr>
        <w:t xml:space="preserve">•  </w:t>
      </w:r>
      <w:r>
        <w:rPr>
          <w:rFonts w:ascii="Arial" w:hAnsi="Arial"/>
          <w:b w:val="0"/>
          <w:i w:val="0"/>
          <w:color w:val="000000"/>
          <w:sz w:val="19"/>
        </w:rPr>
        <w:t xml:space="preserve">Trained </w:t>
      </w:r>
      <w:r>
        <w:rPr>
          <w:rFonts w:ascii="Arial" w:hAnsi="Arial"/>
          <w:b/>
          <w:i w:val="0"/>
          <w:color w:val="000000"/>
          <w:sz w:val="19"/>
        </w:rPr>
        <w:t>24 personnel</w:t>
      </w:r>
      <w:r>
        <w:rPr>
          <w:rFonts w:ascii="Arial" w:hAnsi="Arial"/>
          <w:b w:val="0"/>
          <w:i w:val="0"/>
          <w:color w:val="000000"/>
          <w:sz w:val="19"/>
        </w:rPr>
        <w:t xml:space="preserve"> on supply documentation and records-control procedures; follow-up inspections found </w:t>
      </w:r>
      <w:r>
        <w:rPr>
          <w:rFonts w:ascii="Arial" w:hAnsi="Arial"/>
          <w:b/>
          <w:i w:val="0"/>
          <w:color w:val="000000"/>
          <w:sz w:val="19"/>
        </w:rPr>
        <w:t>no repeat discrepancies</w:t>
      </w:r>
      <w:r>
        <w:rPr>
          <w:rFonts w:ascii="Arial" w:hAnsi="Arial"/>
          <w:b w:val="0"/>
          <w:i w:val="0"/>
          <w:color w:val="000000"/>
          <w:sz w:val="19"/>
        </w:rPr>
        <w:t xml:space="preserve"> during the next annual review.</w:t>
      </w:r>
    </w:p>
    <w:p>
      <w:pPr>
        <w:pStyle w:val="Heading1"/>
        <w:keepNext/>
        <w:spacing w:before="180" w:after="100"/>
        <w:pBdr>
          <w:bottom w:val="single" w:sz="4" w:space="3" w:color="B8C0CC"/>
        </w:pBdr>
      </w:pPr>
      <w:r>
        <w:rPr>
          <w:rFonts w:ascii="Arial" w:hAnsi="Arial"/>
          <w:b/>
          <w:i w:val="0"/>
          <w:color w:val="000000"/>
          <w:sz w:val="21"/>
        </w:rPr>
        <w:t>EDUCATION</w:t>
      </w:r>
    </w:p>
    <w:p>
      <w:pPr>
        <w:keepNext w:val="0"/>
        <w:spacing w:before="0" w:after="60" w:line="240" w:lineRule="auto"/>
      </w:pPr>
      <w:r>
        <w:rPr>
          <w:rFonts w:ascii="Arial" w:hAnsi="Arial"/>
          <w:b/>
          <w:i w:val="0"/>
          <w:color w:val="000000"/>
          <w:sz w:val="18"/>
        </w:rPr>
        <w:t xml:space="preserve">University of Washington  |  </w:t>
      </w:r>
      <w:r>
        <w:rPr>
          <w:rFonts w:ascii="Arial" w:hAnsi="Arial"/>
          <w:b w:val="0"/>
          <w:i w:val="0"/>
          <w:color w:val="000000"/>
          <w:sz w:val="18"/>
        </w:rPr>
        <w:t>Bachelor of Arts in Business Administration  |  June 2016  |  GPA 3.62</w:t>
      </w:r>
    </w:p>
    <w:p>
      <w:pPr>
        <w:pStyle w:val="Heading1"/>
        <w:keepNext/>
        <w:spacing w:before="180" w:after="100"/>
        <w:pBdr>
          <w:bottom w:val="single" w:sz="4" w:space="3" w:color="B8C0CC"/>
        </w:pBdr>
      </w:pPr>
      <w:r>
        <w:rPr>
          <w:rFonts w:ascii="Arial" w:hAnsi="Arial"/>
          <w:b/>
          <w:i w:val="0"/>
          <w:color w:val="000000"/>
          <w:sz w:val="21"/>
        </w:rPr>
        <w:t>CERTIFICATIONS AND LICENSES</w:t>
      </w:r>
    </w:p>
    <w:p>
      <w:pPr>
        <w:keepNext w:val="0"/>
        <w:spacing w:before="0" w:after="60" w:line="240" w:lineRule="auto"/>
      </w:pPr>
      <w:r>
        <w:rPr>
          <w:rFonts w:ascii="Arial" w:hAnsi="Arial"/>
          <w:b/>
          <w:i w:val="0"/>
          <w:color w:val="000000"/>
          <w:sz w:val="18"/>
        </w:rPr>
        <w:t xml:space="preserve">Project Management Professional  |  </w:t>
      </w:r>
      <w:r>
        <w:rPr>
          <w:rFonts w:ascii="Arial" w:hAnsi="Arial"/>
          <w:b w:val="0"/>
          <w:i w:val="0"/>
          <w:color w:val="000000"/>
          <w:sz w:val="18"/>
        </w:rPr>
        <w:t>Project Management Institute  |  Active through December 2028</w:t>
      </w:r>
    </w:p>
    <w:p>
      <w:pPr>
        <w:keepNext w:val="0"/>
        <w:spacing w:before="0" w:after="60" w:line="240" w:lineRule="auto"/>
      </w:pPr>
      <w:r>
        <w:rPr>
          <w:rFonts w:ascii="Arial" w:hAnsi="Arial"/>
          <w:b/>
          <w:i w:val="0"/>
          <w:color w:val="000000"/>
          <w:sz w:val="18"/>
        </w:rPr>
        <w:t xml:space="preserve">Lean Six Sigma Green Belt  |  </w:t>
      </w:r>
      <w:r>
        <w:rPr>
          <w:rFonts w:ascii="Arial" w:hAnsi="Arial"/>
          <w:b w:val="0"/>
          <w:i w:val="0"/>
          <w:color w:val="000000"/>
          <w:sz w:val="18"/>
        </w:rPr>
        <w:t>American Society for Quality  |  Earned September 2020</w:t>
      </w:r>
    </w:p>
    <w:p>
      <w:pPr>
        <w:pStyle w:val="Heading1"/>
        <w:keepNext/>
        <w:spacing w:before="180" w:after="100"/>
        <w:pBdr>
          <w:bottom w:val="single" w:sz="4" w:space="3" w:color="B8C0CC"/>
        </w:pBdr>
      </w:pPr>
      <w:r>
        <w:rPr>
          <w:rFonts w:ascii="Arial" w:hAnsi="Arial"/>
          <w:b/>
          <w:i w:val="0"/>
          <w:color w:val="000000"/>
          <w:sz w:val="21"/>
        </w:rPr>
        <w:t>TRAINING</w:t>
      </w:r>
    </w:p>
    <w:p>
      <w:pPr>
        <w:keepNext w:val="0"/>
        <w:spacing w:before="0" w:after="60" w:line="240" w:lineRule="auto"/>
      </w:pPr>
      <w:r>
        <w:rPr>
          <w:rFonts w:ascii="Arial" w:hAnsi="Arial"/>
          <w:b/>
          <w:i w:val="0"/>
          <w:color w:val="000000"/>
          <w:sz w:val="18"/>
        </w:rPr>
        <w:t xml:space="preserve">Appropriations Law and Fiscal Controls  |  </w:t>
      </w:r>
      <w:r>
        <w:rPr>
          <w:rFonts w:ascii="Arial" w:hAnsi="Arial"/>
          <w:b w:val="0"/>
          <w:i w:val="0"/>
          <w:color w:val="000000"/>
          <w:sz w:val="18"/>
        </w:rPr>
        <w:t>Federal Acquisition Institute  |  March 2025</w:t>
      </w:r>
    </w:p>
    <w:p>
      <w:pPr>
        <w:keepNext w:val="0"/>
        <w:spacing w:before="0" w:after="60" w:line="240" w:lineRule="auto"/>
      </w:pPr>
      <w:r>
        <w:rPr>
          <w:rFonts w:ascii="Arial" w:hAnsi="Arial"/>
          <w:b/>
          <w:i w:val="0"/>
          <w:color w:val="000000"/>
          <w:sz w:val="18"/>
        </w:rPr>
        <w:t xml:space="preserve">Power BI Data Modeling  |  </w:t>
      </w:r>
      <w:r>
        <w:rPr>
          <w:rFonts w:ascii="Arial" w:hAnsi="Arial"/>
          <w:b w:val="0"/>
          <w:i w:val="0"/>
          <w:color w:val="000000"/>
          <w:sz w:val="18"/>
        </w:rPr>
        <w:t>Microsoft Learn  |  November 2024</w:t>
      </w:r>
    </w:p>
    <w:p>
      <w:pPr>
        <w:pStyle w:val="Heading1"/>
        <w:keepNext/>
        <w:spacing w:before="180" w:after="100"/>
        <w:pBdr>
          <w:bottom w:val="single" w:sz="4" w:space="3" w:color="B8C0CC"/>
        </w:pBdr>
      </w:pPr>
      <w:r>
        <w:rPr>
          <w:rFonts w:ascii="Arial" w:hAnsi="Arial"/>
          <w:b/>
          <w:i w:val="0"/>
          <w:color w:val="000000"/>
          <w:sz w:val="21"/>
        </w:rPr>
        <w:t>AWARDS</w:t>
      </w:r>
    </w:p>
    <w:p>
      <w:pPr>
        <w:keepNext w:val="0"/>
        <w:spacing w:before="0" w:after="60" w:line="240" w:lineRule="auto"/>
      </w:pPr>
      <w:r>
        <w:rPr>
          <w:rFonts w:ascii="Arial" w:hAnsi="Arial"/>
          <w:b/>
          <w:i w:val="0"/>
          <w:color w:val="000000"/>
          <w:sz w:val="18"/>
        </w:rPr>
        <w:t xml:space="preserve">Special Act Award  |  </w:t>
      </w:r>
      <w:r>
        <w:rPr>
          <w:rFonts w:ascii="Arial" w:hAnsi="Arial"/>
          <w:b w:val="0"/>
          <w:i w:val="0"/>
          <w:color w:val="000000"/>
          <w:sz w:val="18"/>
        </w:rPr>
        <w:t>U.S. General Services Administration  |  September 2025</w:t>
      </w:r>
    </w:p>
    <w:p>
      <w:pPr>
        <w:keepNext w:val="0"/>
        <w:spacing w:before="0" w:after="60" w:line="240" w:lineRule="auto"/>
      </w:pPr>
      <w:r>
        <w:rPr>
          <w:rFonts w:ascii="Arial" w:hAnsi="Arial"/>
          <w:b/>
          <w:i w:val="0"/>
          <w:color w:val="000000"/>
          <w:sz w:val="18"/>
        </w:rPr>
        <w:t xml:space="preserve">Time-Off Award  |  </w:t>
      </w:r>
      <w:r>
        <w:rPr>
          <w:rFonts w:ascii="Arial" w:hAnsi="Arial"/>
          <w:b w:val="0"/>
          <w:i w:val="0"/>
          <w:color w:val="000000"/>
          <w:sz w:val="18"/>
        </w:rPr>
        <w:t>U.S. General Services Administration  |  June 2023</w:t>
      </w:r>
    </w:p>
    <w:p>
      <w:pPr>
        <w:pStyle w:val="Heading1"/>
        <w:keepNext/>
        <w:spacing w:before="180" w:after="100"/>
        <w:pBdr>
          <w:bottom w:val="single" w:sz="4" w:space="3" w:color="B8C0CC"/>
        </w:pBdr>
      </w:pPr>
      <w:r>
        <w:rPr>
          <w:rFonts w:ascii="Arial" w:hAnsi="Arial"/>
          <w:b/>
          <w:i w:val="0"/>
          <w:color w:val="000000"/>
          <w:sz w:val="21"/>
        </w:rPr>
        <w:t>VOLUNTEER EXPERIENCE</w:t>
      </w:r>
    </w:p>
    <w:p>
      <w:pPr>
        <w:keepNext/>
        <w:tabs>
          <w:tab w:pos="10310" w:val="right"/>
        </w:tabs>
        <w:spacing w:before="80" w:after="30"/>
      </w:pPr>
      <w:r>
        <w:rPr>
          <w:rFonts w:ascii="Arial" w:hAnsi="Arial"/>
          <w:b/>
          <w:i w:val="0"/>
          <w:color w:val="000000"/>
          <w:sz w:val="20"/>
        </w:rPr>
        <w:t>Northwest Veterans Career Network</w:t>
      </w:r>
      <w:r>
        <w:rPr>
          <w:rFonts w:ascii="Arial" w:hAnsi="Arial"/>
          <w:b w:val="0"/>
          <w:i/>
          <w:color w:val="000000"/>
          <w:sz w:val="19"/>
        </w:rPr>
        <w:t xml:space="preserve">  |  Volunteer Workshop Facilitator</w:t>
      </w:r>
      <w:r>
        <w:rPr>
          <w:rFonts w:ascii="Arial" w:hAnsi="Arial"/>
          <w:b/>
          <w:i w:val="0"/>
          <w:color w:val="000000"/>
          <w:sz w:val="19"/>
        </w:rPr>
        <w:tab/>
        <w:t>January 2022–Present</w:t>
      </w:r>
    </w:p>
    <w:p>
      <w:pPr>
        <w:keepNext/>
        <w:spacing w:before="0" w:after="70" w:line="240" w:lineRule="auto"/>
      </w:pPr>
      <w:r>
        <w:rPr>
          <w:rFonts w:ascii="Arial" w:hAnsi="Arial"/>
          <w:b w:val="0"/>
          <w:i w:val="0"/>
          <w:color w:val="4E5662"/>
          <w:sz w:val="18"/>
        </w:rPr>
        <w:t>Seattle, WA  |  4 hours per month</w:t>
      </w:r>
    </w:p>
    <w:p>
      <w:pPr>
        <w:keepNext w:val="0"/>
        <w:spacing w:before="0" w:after="50" w:line="259" w:lineRule="auto"/>
        <w:ind w:left="432" w:hanging="259"/>
      </w:pPr>
      <w:r>
        <w:rPr>
          <w:rFonts w:ascii="Arial" w:hAnsi="Arial"/>
          <w:b/>
          <w:i w:val="0"/>
          <w:color w:val="000000"/>
          <w:sz w:val="21"/>
        </w:rPr>
        <w:t xml:space="preserve">•  </w:t>
      </w:r>
      <w:r>
        <w:rPr>
          <w:rFonts w:ascii="Arial" w:hAnsi="Arial"/>
          <w:b w:val="0"/>
          <w:i w:val="0"/>
          <w:color w:val="000000"/>
          <w:sz w:val="19"/>
        </w:rPr>
        <w:t xml:space="preserve">Lead monthly resume workshops for transitioning service members and veterans; supported </w:t>
      </w:r>
      <w:r>
        <w:rPr>
          <w:rFonts w:ascii="Arial" w:hAnsi="Arial"/>
          <w:b/>
          <w:i w:val="0"/>
          <w:color w:val="000000"/>
          <w:sz w:val="19"/>
        </w:rPr>
        <w:t>more than 80 participants</w:t>
      </w:r>
      <w:r>
        <w:rPr>
          <w:rFonts w:ascii="Arial" w:hAnsi="Arial"/>
          <w:b w:val="0"/>
          <w:i w:val="0"/>
          <w:color w:val="000000"/>
          <w:sz w:val="19"/>
        </w:rPr>
        <w:t xml:space="preserve"> across </w:t>
      </w:r>
      <w:r>
        <w:rPr>
          <w:rFonts w:ascii="Arial" w:hAnsi="Arial"/>
          <w:b/>
          <w:i w:val="0"/>
          <w:color w:val="000000"/>
          <w:sz w:val="19"/>
        </w:rPr>
        <w:t>20 sessions</w:t>
      </w:r>
      <w:r>
        <w:rPr>
          <w:rFonts w:ascii="Arial" w:hAnsi="Arial"/>
          <w:b w:val="0"/>
          <w:i w:val="0"/>
          <w:color w:val="000000"/>
          <w:sz w:val="19"/>
        </w:rPr>
        <w:t>.</w:t>
      </w:r>
    </w:p>
    <w:sectPr w:rsidR="00FC693F" w:rsidRPr="0006063C" w:rsidSect="00034616">
      <w:footerReference w:type="default" r:id="rId9"/>
      <w:pgSz w:w="12240" w:h="15840"/>
      <w:pgMar w:top="749" w:right="893" w:bottom="778" w:left="893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b w:val="0"/>
        <w:i w:val="0"/>
        <w:color w:val="4E5662"/>
        <w:sz w:val="16"/>
      </w:rPr>
      <w:t>Fictional federal resume example  |  Replace every detail before applying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40" w:lineRule="auto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 w:line="259" w:lineRule="auto"/>
      <w:ind w:left="432" w:hanging="259"/>
      <w:contextualSpacing/>
    </w:pPr>
    <w:rPr>
      <w:rFonts w:ascii="Arial" w:hAnsi="Arial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 Federal Resume</dc:title>
  <dc:subject>Fictional federal resume example for USAJOBS applicants</dc:subject>
  <dc:creator>FedUp.work</dc:creator>
  <cp:keywords>federal resume, USAJOBS,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